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22 марта 2017 г. N 46089</w:t>
      </w:r>
    </w:p>
    <w:p w:rsidR="008A74A4" w:rsidRDefault="008A74A4" w:rsidP="008A74A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СЕЛЬСКОГО ХОЗЯЙСТВА РОССИЙСКОЙ ФЕДЕРАЦИИ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ФЕДЕРАЛЬНОЕ АГЕНТСТВО ПО РЫБОЛОВСТВУ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27 февраля 2017 г. N 119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КОМИССИЯХ ТЕРРИТОРИАЛЬНЫХ ОРГАНОВ РОСРЫБОЛОВСТВА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СОБЛЮДЕНИЮ ТРЕБОВАНИЙ К СЛУЖЕБНОМУ ПОВЕДЕНИЮ ФЕДЕРАЛЬНЫХ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ГРАЖДАНСКИХ СЛУЖАЩИХ, РАБОТНИКОВ,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ЗАМЕЩАЮЩИХ ОТДЕЛЬНЫЕ ДОЛЖНОСТИ НА ОСНОВАНИИ ТРУДОВОГО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ДОГОВОРА В ОРГАНИЗАЦИЯХ, СОЗДАННЫХ ДЛЯ ВЫПОЛНЕНИЯ ЗАДАЧ,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ПОСТАВЛЕННЫХ ПЕРЕД РОСРЫБОЛОВСТВОМ, И УРЕГУЛИРОВАНИЮ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КОНФЛИКТА ИНТЕРЕСОВ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8A74A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74A4" w:rsidRDefault="008A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A74A4" w:rsidRDefault="008A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Росрыболовства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23.09.2019 N 482)</w:t>
            </w:r>
          </w:p>
        </w:tc>
      </w:tr>
    </w:tbl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1065</w:t>
        </w:r>
      </w:hyperlink>
      <w:r>
        <w:rPr>
          <w:rFonts w:ascii="Arial" w:hAnsi="Arial" w:cs="Arial"/>
          <w:sz w:val="20"/>
          <w:szCs w:val="20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821</w:t>
        </w:r>
      </w:hyperlink>
      <w:r>
        <w:rPr>
          <w:rFonts w:ascii="Arial" w:hAnsi="Arial" w:cs="Arial"/>
          <w:sz w:val="20"/>
          <w:szCs w:val="20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от 21 июля 2010 г.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925</w:t>
        </w:r>
      </w:hyperlink>
      <w:r>
        <w:rPr>
          <w:rFonts w:ascii="Arial" w:hAnsi="Arial" w:cs="Arial"/>
          <w:sz w:val="20"/>
          <w:szCs w:val="20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310</w:t>
        </w:r>
      </w:hyperlink>
      <w:r>
        <w:rPr>
          <w:rFonts w:ascii="Arial" w:hAnsi="Arial" w:cs="Arial"/>
          <w:sz w:val="20"/>
          <w:szCs w:val="20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3520), от 8 марта 2015 г.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 xml:space="preserve"> "О некоторых вопросах противодействия коррупции" (Собрание законодательства Российской Федерации, 2015, N 10, ст. 1506; N 29, ст. 4477), от 22 декабря 2015 г.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650</w:t>
        </w:r>
      </w:hyperlink>
      <w:r>
        <w:rPr>
          <w:rFonts w:ascii="Arial" w:hAnsi="Arial" w:cs="Arial"/>
          <w:sz w:val="20"/>
          <w:szCs w:val="20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</w:t>
      </w:r>
      <w:r>
        <w:rPr>
          <w:rFonts w:ascii="Arial" w:hAnsi="Arial" w:cs="Arial"/>
          <w:sz w:val="20"/>
          <w:szCs w:val="20"/>
        </w:rPr>
        <w:lastRenderedPageBreak/>
        <w:t>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комиссиях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>, и урегулированию конфликта интересов.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исполнением настоящего приказа оставляю за собой.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Министра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сельского хозяйства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-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Федерального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агентства по рыболовству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И.В.ШЕСТАКОВ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27.02.2017 N 119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3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КОМИССИЯХ ТЕРРИТОРИАЛЬНЫХ ОРГАНОВ РОСРЫБОЛОВСТВА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СОБЛЮДЕНИЮ ТРЕБОВАНИЙ К СЛУЖЕБНОМУ ПОВЕДЕНИЮ ФЕДЕРАЛЬНЫХ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ГРАЖДАНСКИХ СЛУЖАЩИХ, РАБОТНИКОВ,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ЗАМЕЩАЮЩИХ ОТДЕЛЬНЫЕ ДОЛЖНОСТИ НА ОСНОВАНИИ ТРУДОВОГО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ДОГОВОРА В ОРГАНИЗАЦИЯХ, СОЗДАННЫХ ДЛЯ ВЫПОЛНЕНИЯ ЗАДАЧ,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ПОСТАВЛЕННЫХ ПЕРЕД РОСРЫБОЛОВСТВОМ, И УРЕГУЛИРОВАНИЮ</w:t>
      </w: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КОНФЛИКТА ИНТЕРЕСОВ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8A74A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74A4" w:rsidRDefault="008A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A74A4" w:rsidRDefault="008A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Росрыболовства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23.09.2019 N 482)</w:t>
            </w:r>
          </w:p>
        </w:tc>
      </w:tr>
    </w:tbl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Положением определяется порядок формирования и деятельности комиссий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>, и урегулированию конфликта интересов (далее - Комиссии).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Комиссии в своей деятельности руководствуются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 настоящим Положением.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Основной задачей Комиссий является содействие территориальным органам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территориальные органы):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обеспечении соблюдения федеральными государственными гражданскими служащими территориальных органов, работодателем для которых является руководитель территориального органа </w:t>
      </w:r>
      <w:r>
        <w:rPr>
          <w:rFonts w:ascii="Arial" w:hAnsi="Arial" w:cs="Arial"/>
          <w:sz w:val="20"/>
          <w:szCs w:val="20"/>
        </w:rPr>
        <w:lastRenderedPageBreak/>
        <w:t xml:space="preserve">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Arial" w:hAnsi="Arial" w:cs="Arial"/>
          <w:sz w:val="20"/>
          <w:szCs w:val="20"/>
        </w:rPr>
        <w:t>Росрыболовством</w:t>
      </w:r>
      <w:proofErr w:type="spellEnd"/>
      <w:r>
        <w:rPr>
          <w:rFonts w:ascii="Arial" w:hAnsi="Arial" w:cs="Arial"/>
          <w:sz w:val="20"/>
          <w:szCs w:val="20"/>
        </w:rPr>
        <w:t xml:space="preserve"> и расположенных в зоне ответственности территориальных органов (далее - подведомственные организации), работодателем для которых является руководитель организации (далее - работники),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осуществлении в территориальных органах и подведомственных организациях мер по предупреждению коррупции.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, включенных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12 ноября 2012 г. N 897 (зарегистрирован Минюстом России 7 февраля 2013 г., регистрационный N 26903), а также работников подведомственных организаций, замещающих должности, включенные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25 февраля 2013 г. N 131 (зарегистрирован Минюстом России 29 марта 2013 г., регистрационный N 27913).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Состав Комиссии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Образование Комиссии, утверждение ее численного и персонального состава осуществляется приказом руководителя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Комиссия состоит из председателя Комиссии, заместителя председателя, назначаемых руководителем территориального органа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из числа членов Комиссии, замещающих должности федеральной государственной гражданской службы в территориальном 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состав Комиссии входят: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 территориального органа, определяемые руководителем территориального органа;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9"/>
      <w:bookmarkEnd w:id="1"/>
      <w:r>
        <w:rPr>
          <w:rFonts w:ascii="Arial" w:hAnsi="Arial" w:cs="Arial"/>
          <w:sz w:val="20"/>
          <w:szCs w:val="20"/>
        </w:rP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0"/>
      <w:bookmarkEnd w:id="2"/>
      <w:r>
        <w:rPr>
          <w:rFonts w:ascii="Arial" w:hAnsi="Arial" w:cs="Arial"/>
          <w:sz w:val="20"/>
          <w:szCs w:val="20"/>
        </w:rPr>
        <w:t>8. Руководитель территориального органа может принять решение о включении в состав Комиссии: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представителя Общественного совета, образованного при территориальном органе,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представителя (представителей) общественной организации ветеранов, созданной в территориальном органе;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представителя профсоюзной организации, действующей в территориальном органе.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Лица, указанные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7</w:t>
        </w:r>
      </w:hyperlink>
      <w:r>
        <w:rPr>
          <w:rFonts w:ascii="Arial" w:hAnsi="Arial" w:cs="Arial"/>
          <w:sz w:val="20"/>
          <w:szCs w:val="20"/>
        </w:rPr>
        <w:t xml:space="preserve"> и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пункте 8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 Согласование осуществляется в 10-дневный срок со дня получения запроса.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 заседаниях Комиссии с правом совещательного голоса участвуют: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9"/>
      <w:bookmarkEnd w:id="3"/>
      <w:r>
        <w:rPr>
          <w:rFonts w:ascii="Arial" w:hAnsi="Arial" w:cs="Arial"/>
          <w:sz w:val="20"/>
          <w:szCs w:val="20"/>
        </w:rPr>
        <w:t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этот вопрос, или любого члена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Порядок работы Комиссии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5"/>
      <w:bookmarkEnd w:id="4"/>
      <w:r>
        <w:rPr>
          <w:rFonts w:ascii="Arial" w:hAnsi="Arial" w:cs="Arial"/>
          <w:sz w:val="20"/>
          <w:szCs w:val="20"/>
        </w:rPr>
        <w:t>15. Основаниями для проведения заседания Комиссии являются: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6"/>
      <w:bookmarkEnd w:id="5"/>
      <w:r>
        <w:rPr>
          <w:rFonts w:ascii="Arial" w:hAnsi="Arial" w:cs="Arial"/>
          <w:sz w:val="20"/>
          <w:szCs w:val="20"/>
        </w:rPr>
        <w:t xml:space="preserve">а) представление руководителем территориального органа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>
        <w:rPr>
          <w:rFonts w:ascii="Arial" w:hAnsi="Arial" w:cs="Arial"/>
          <w:sz w:val="20"/>
          <w:szCs w:val="20"/>
        </w:rPr>
        <w:lastRenderedPageBreak/>
        <w:t>утвержденного Указом Президента Российской Федерации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7"/>
      <w:bookmarkEnd w:id="6"/>
      <w:r>
        <w:rPr>
          <w:rFonts w:ascii="Arial" w:hAnsi="Arial" w:cs="Arial"/>
          <w:sz w:val="20"/>
          <w:szCs w:val="20"/>
        </w:rP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8"/>
      <w:bookmarkEnd w:id="7"/>
      <w:r>
        <w:rPr>
          <w:rFonts w:ascii="Arial" w:hAnsi="Arial" w:cs="Arial"/>
          <w:sz w:val="20"/>
          <w:szCs w:val="20"/>
        </w:rP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9"/>
      <w:bookmarkEnd w:id="8"/>
      <w:r>
        <w:rPr>
          <w:rFonts w:ascii="Arial" w:hAnsi="Arial" w:cs="Arial"/>
          <w:sz w:val="20"/>
          <w:szCs w:val="20"/>
        </w:rPr>
        <w:t>б) поступившее в подразделение по вопросам государственной службы и кадров территориального органа: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0"/>
      <w:bookmarkEnd w:id="9"/>
      <w:r>
        <w:rPr>
          <w:rFonts w:ascii="Arial" w:hAnsi="Arial" w:cs="Arial"/>
          <w:sz w:val="20"/>
          <w:szCs w:val="20"/>
        </w:rPr>
        <w:t xml:space="preserve">- обращение гражданина, замещавшего должность гражданской службы в территориальном органе, включенную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12 ноября 2012 г. N 897 (зарегистрирован Минюстом России 7 февраля 2013 г., регистрационный N 26903),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1"/>
      <w:bookmarkEnd w:id="10"/>
      <w:r>
        <w:rPr>
          <w:rFonts w:ascii="Arial" w:hAnsi="Arial" w:cs="Arial"/>
          <w:sz w:val="20"/>
          <w:szCs w:val="20"/>
        </w:rP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2"/>
      <w:bookmarkEnd w:id="11"/>
      <w:r>
        <w:rPr>
          <w:rFonts w:ascii="Arial" w:hAnsi="Arial" w:cs="Arial"/>
          <w:sz w:val="20"/>
          <w:szCs w:val="20"/>
        </w:rPr>
        <w:t xml:space="preserve">- заявление гражданского служащего о невозможности выполнить требования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93"/>
      <w:bookmarkEnd w:id="12"/>
      <w:r>
        <w:rPr>
          <w:rFonts w:ascii="Arial" w:hAnsi="Arial" w:cs="Arial"/>
          <w:sz w:val="20"/>
          <w:szCs w:val="20"/>
        </w:rP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4"/>
      <w:bookmarkEnd w:id="13"/>
      <w:r>
        <w:rPr>
          <w:rFonts w:ascii="Arial" w:hAnsi="Arial" w:cs="Arial"/>
          <w:sz w:val="20"/>
          <w:szCs w:val="20"/>
        </w:rPr>
        <w:t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95"/>
      <w:bookmarkEnd w:id="14"/>
      <w:r>
        <w:rPr>
          <w:rFonts w:ascii="Arial" w:hAnsi="Arial" w:cs="Arial"/>
          <w:sz w:val="20"/>
          <w:szCs w:val="20"/>
        </w:rP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96"/>
      <w:bookmarkEnd w:id="15"/>
      <w:r>
        <w:rPr>
          <w:rFonts w:ascii="Arial" w:hAnsi="Arial" w:cs="Arial"/>
          <w:sz w:val="20"/>
          <w:szCs w:val="20"/>
        </w:rPr>
        <w:t xml:space="preserve">д) поступившее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 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статьей 64.1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2008, N 52, ст. 6235; 2011, N 48, ст. 6730) в территориальный орган уведомление коммерческой или </w:t>
      </w:r>
      <w:r>
        <w:rPr>
          <w:rFonts w:ascii="Arial" w:hAnsi="Arial" w:cs="Arial"/>
          <w:sz w:val="20"/>
          <w:szCs w:val="20"/>
        </w:rPr>
        <w:lastRenderedPageBreak/>
        <w:t>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98"/>
      <w:bookmarkEnd w:id="16"/>
      <w:r>
        <w:rPr>
          <w:rFonts w:ascii="Arial" w:hAnsi="Arial" w:cs="Arial"/>
          <w:sz w:val="20"/>
          <w:szCs w:val="20"/>
        </w:rPr>
        <w:t xml:space="preserve">17. Обращение, указанное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Обращение, указанное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02"/>
      <w:bookmarkEnd w:id="17"/>
      <w:r>
        <w:rPr>
          <w:rFonts w:ascii="Arial" w:hAnsi="Arial" w:cs="Arial"/>
          <w:sz w:val="20"/>
          <w:szCs w:val="20"/>
        </w:rPr>
        <w:t xml:space="preserve">19. Уведомление, указанное в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03"/>
      <w:bookmarkEnd w:id="18"/>
      <w:r>
        <w:rPr>
          <w:rFonts w:ascii="Arial" w:hAnsi="Arial" w:cs="Arial"/>
          <w:sz w:val="20"/>
          <w:szCs w:val="20"/>
        </w:rPr>
        <w:t xml:space="preserve">20. Уведомление, указанное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по результатам рассмотрения уведомления.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При подготовке мотивированного заключения по результатам рассмотрения обращения, указанного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территориального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21.1. Мотивированные заключения, предусмотренные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пунктами 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19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должны содержать: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информацию, изложенную в обращениях или уведомлениях, указанных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пунктами 31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36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21.1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 xml:space="preserve"> от 23.09.2019 N 482)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Председатель Комиссии при поступлении к нему в порядке, предусмотренном нормативным правовым актом </w:t>
      </w:r>
      <w:proofErr w:type="spellStart"/>
      <w:r>
        <w:rPr>
          <w:rFonts w:ascii="Arial" w:hAnsi="Arial" w:cs="Arial"/>
          <w:sz w:val="20"/>
          <w:szCs w:val="20"/>
        </w:rPr>
        <w:t>Росрыболовства</w:t>
      </w:r>
      <w:proofErr w:type="spellEnd"/>
      <w:r>
        <w:rPr>
          <w:rFonts w:ascii="Arial" w:hAnsi="Arial" w:cs="Arial"/>
          <w:sz w:val="20"/>
          <w:szCs w:val="20"/>
        </w:rPr>
        <w:t>, информации, содержащей основания для проведения заседания Комиссии: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пунктами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14"/>
      <w:bookmarkEnd w:id="19"/>
      <w:r>
        <w:rPr>
          <w:rFonts w:ascii="Arial" w:hAnsi="Arial" w:cs="Arial"/>
          <w:sz w:val="20"/>
          <w:szCs w:val="20"/>
        </w:rPr>
        <w:t xml:space="preserve">23. Заседание Комиссии по рассмотрению заявлений, указанных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четвертом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15"/>
      <w:bookmarkEnd w:id="20"/>
      <w:r>
        <w:rPr>
          <w:rFonts w:ascii="Arial" w:hAnsi="Arial" w:cs="Arial"/>
          <w:sz w:val="20"/>
          <w:szCs w:val="20"/>
        </w:rPr>
        <w:t xml:space="preserve">24. Уведомление, указанное в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Заседания Комиссии могут проводиться в отсутствие гражданского служащего (работника) или гражданина в случае: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22"/>
      <w:bookmarkEnd w:id="21"/>
      <w:r>
        <w:rPr>
          <w:rFonts w:ascii="Arial" w:hAnsi="Arial" w:cs="Arial"/>
          <w:sz w:val="20"/>
          <w:szCs w:val="20"/>
        </w:rPr>
        <w:lastRenderedPageBreak/>
        <w:t xml:space="preserve">29. По итогам рассмотрения вопроса, указанного в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"а"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установить, что сведения, представленные гражданским служащим (работником)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проверке, являются достоверными и полными;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сведения, представленные гражданским служащим (работником) в соответствии с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По итогам рассмотрения вопроса, указанного в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"а"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28"/>
      <w:bookmarkEnd w:id="22"/>
      <w:r>
        <w:rPr>
          <w:rFonts w:ascii="Arial" w:hAnsi="Arial" w:cs="Arial"/>
          <w:sz w:val="20"/>
          <w:szCs w:val="20"/>
        </w:rPr>
        <w:t xml:space="preserve">31. По итогам рассмотрения вопроса, указанного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По итогам рассмотрения вопроса, указанного в </w:t>
      </w:r>
      <w:hyperlink w:anchor="Par91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По итогам рассмотрения вопроса, указанного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подпункте "г"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сведения, представленные гражданским служащим (работником)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Закона о контроле за расходами, являются достоверными и полными;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б) признать, что сведения, представленные гражданским служащим (работником) в соответствии с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Закона о контроле за расходами,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По итогам рассмотрения вопроса, указанного в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обстоятельства, препятствующие выполнению требований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 запрете счетов, являются объективными и уважительными;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обстоятельства, препятствующие выполнению требований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 запрете счетов, не являются объективными и уважительными. В этом случае Комиссия рекомендует руководителю территориального органа применить к гражданскому служащему (работнику) конкретную меру ответственности.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41"/>
      <w:bookmarkEnd w:id="23"/>
      <w:r>
        <w:rPr>
          <w:rFonts w:ascii="Arial" w:hAnsi="Arial" w:cs="Arial"/>
          <w:sz w:val="20"/>
          <w:szCs w:val="20"/>
        </w:rPr>
        <w:t xml:space="preserve">35. По итогам рассмотрения вопроса, указанного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45"/>
      <w:bookmarkEnd w:id="24"/>
      <w:r>
        <w:rPr>
          <w:rFonts w:ascii="Arial" w:hAnsi="Arial" w:cs="Arial"/>
          <w:sz w:val="20"/>
          <w:szCs w:val="20"/>
        </w:rPr>
        <w:t xml:space="preserve">36. По итогам рассмотрения вопроса, указанного в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По итогам рассмотрения вопросов, указанных в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"д"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пунктами 29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36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По итогам рассмотрения вопроса, предусмотренного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подведомственной организации).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40. Решения Комиссии по вопросам, указанным в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пункте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Решения Комиссии оформляются протоколами, которые подписывают члены Комиссии, принимавшие участие в ее заседании.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для руководителя территориального органа (руководителя подведомственной организации) носят рекомендательный характер.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Решение, принимаемое по итогам рассмотрения вопроса, указанного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носит обязательный характер.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В протоколе заседания Комиссии указываются: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предъявляемые к гражданскому служащему (работнику) претензии, материалы, на которых они основываются;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территориальный орган;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другие сведения;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результаты голосования;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(руководителя подведомственной организации) оглашается на ближайшем заседании Комиссии и принимается к сведению без обсуждения.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74A4" w:rsidRDefault="008A74A4" w:rsidP="008A74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</w:t>
      </w: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4A4" w:rsidRDefault="008A74A4" w:rsidP="008A74A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E2AFE" w:rsidRDefault="003E2AFE">
      <w:bookmarkStart w:id="25" w:name="_GoBack"/>
      <w:bookmarkEnd w:id="25"/>
    </w:p>
    <w:sectPr w:rsidR="003E2AFE" w:rsidSect="009D61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5E"/>
    <w:rsid w:val="003E2AFE"/>
    <w:rsid w:val="00672A5E"/>
    <w:rsid w:val="008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EDAA-E0A7-457A-9535-55BA240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6C6A8B8AAA8756F7AB3A5E1FB61ED282EBC2D8035366C812D056BF54D94EEF9564B67A324BBD90818A8950B2ACH6F" TargetMode="External"/><Relationship Id="rId18" Type="http://schemas.openxmlformats.org/officeDocument/2006/relationships/hyperlink" Target="consultantplus://offline/ref=376C6A8B8AAA8756F7AB3A5E1FB61ED282E7C3D8015D66C812D056BF54D94EEF8764EE76304DA390839FDF01F79A5F88803C45424A7C2F1FA5H1F" TargetMode="External"/><Relationship Id="rId26" Type="http://schemas.openxmlformats.org/officeDocument/2006/relationships/hyperlink" Target="consultantplus://offline/ref=376C6A8B8AAA8756F7AB3A5E1FB61ED280E2C6DE065566C812D056BF54D94EEF8764EE743346F7C0C4C18652B5D1538B98204442A5HDF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76C6A8B8AAA8756F7AB3A5E1FB61ED280E3C5DD065666C812D056BF54D94EEF8764EE76304DA295899FDF01F79A5F88803C45424A7C2F1FA5H1F" TargetMode="External"/><Relationship Id="rId34" Type="http://schemas.openxmlformats.org/officeDocument/2006/relationships/hyperlink" Target="consultantplus://offline/ref=376C6A8B8AAA8756F7AB3A5E1FB61ED281EAC8DD055366C812D056BF54D94EEF8764EE76304DA293889FDF01F79A5F88803C45424A7C2F1FA5H1F" TargetMode="External"/><Relationship Id="rId7" Type="http://schemas.openxmlformats.org/officeDocument/2006/relationships/hyperlink" Target="consultantplus://offline/ref=376C6A8B8AAA8756F7AB3A5E1FB61ED280E2C6DE065566C812D056BF54D94EEF8764EE743046F7C0C4C18652B5D1538B98204442A5HDF" TargetMode="External"/><Relationship Id="rId12" Type="http://schemas.openxmlformats.org/officeDocument/2006/relationships/hyperlink" Target="consultantplus://offline/ref=376C6A8B8AAA8756F7AB3A5E1FB61ED280E1C5DC005D66C812D056BF54D94EEF9564B67A324BBD90818A8950B2ACH6F" TargetMode="External"/><Relationship Id="rId17" Type="http://schemas.openxmlformats.org/officeDocument/2006/relationships/hyperlink" Target="consultantplus://offline/ref=376C6A8B8AAA8756F7AB3A5E1FB61ED280E2C6DE065566C812D056BF54D94EEF9564B67A324BBD90818A8950B2ACH6F" TargetMode="External"/><Relationship Id="rId25" Type="http://schemas.openxmlformats.org/officeDocument/2006/relationships/hyperlink" Target="consultantplus://offline/ref=376C6A8B8AAA8756F7AB3A5E1FB61ED281EAC8DD055366C812D056BF54D94EEF8764EE76304DA293889FDF01F79A5F88803C45424A7C2F1FA5H1F" TargetMode="External"/><Relationship Id="rId33" Type="http://schemas.openxmlformats.org/officeDocument/2006/relationships/hyperlink" Target="consultantplus://offline/ref=376C6A8B8AAA8756F7AB3A5E1FB61ED281EAC8DD055366C812D056BF54D94EEF8764EE76304DA293889FDF01F79A5F88803C45424A7C2F1FA5H1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C6A8B8AAA8756F7AB3A5E1FB61ED281EBC6DD0A0231CA438558BA5C8914FF912DE1712E4CA28F82948AA5H9F" TargetMode="External"/><Relationship Id="rId20" Type="http://schemas.openxmlformats.org/officeDocument/2006/relationships/hyperlink" Target="consultantplus://offline/ref=376C6A8B8AAA8756F7AB3A5E1FB61ED281EBC5DB025566C812D056BF54D94EEF8764EE76304DA295829FDF01F79A5F88803C45424A7C2F1FA5H1F" TargetMode="External"/><Relationship Id="rId29" Type="http://schemas.openxmlformats.org/officeDocument/2006/relationships/hyperlink" Target="consultantplus://offline/ref=376C6A8B8AAA8756F7AB3A5E1FB61ED280E2C6DE065566C812D056BF54D94EEF8764EE753846F7C0C4C18652B5D1538B98204442A5H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C6A8B8AAA8756F7AB3A5E1FB61ED280E1C2D0085566C812D056BF54D94EEF8764EE733246F7C0C4C18652B5D1538B98204442A5HDF" TargetMode="External"/><Relationship Id="rId11" Type="http://schemas.openxmlformats.org/officeDocument/2006/relationships/hyperlink" Target="consultantplus://offline/ref=376C6A8B8AAA8756F7AB3A5E1FB61ED282E3C3DF085766C812D056BF54D94EEF8764EE76304DA391889FDF01F79A5F88803C45424A7C2F1FA5H1F" TargetMode="External"/><Relationship Id="rId24" Type="http://schemas.openxmlformats.org/officeDocument/2006/relationships/hyperlink" Target="consultantplus://offline/ref=376C6A8B8AAA8756F7AB3A5E1FB61ED280E2C6DE065766C812D056BF54D94EEF9564B67A324BBD90818A8950B2ACH6F" TargetMode="External"/><Relationship Id="rId32" Type="http://schemas.openxmlformats.org/officeDocument/2006/relationships/hyperlink" Target="consultantplus://offline/ref=376C6A8B8AAA8756F7AB3A5E1FB61ED280E3C5DD065666C812D056BF54D94EEF8764EE763B19F2D5D5998956ADCE5394842245A4HAF" TargetMode="External"/><Relationship Id="rId37" Type="http://schemas.openxmlformats.org/officeDocument/2006/relationships/hyperlink" Target="consultantplus://offline/ref=376C6A8B8AAA8756F7AB3A5E1FB61ED280E2C6DE065566C812D056BF54D94EEF8764EE753846F7C0C4C18652B5D1538B98204442A5HDF" TargetMode="External"/><Relationship Id="rId5" Type="http://schemas.openxmlformats.org/officeDocument/2006/relationships/hyperlink" Target="consultantplus://offline/ref=376C6A8B8AAA8756F7AB3A5E1FB61ED280E0C7D8025366C812D056BF54D94EEF8764EE76304DA391879FDF01F79A5F88803C45424A7C2F1FA5H1F" TargetMode="External"/><Relationship Id="rId15" Type="http://schemas.openxmlformats.org/officeDocument/2006/relationships/hyperlink" Target="consultantplus://offline/ref=376C6A8B8AAA8756F7AB3A5E1FB61ED280E0C7D8025366C812D056BF54D94EEF8764EE76304DA391879FDF01F79A5F88803C45424A7C2F1FA5H1F" TargetMode="External"/><Relationship Id="rId23" Type="http://schemas.openxmlformats.org/officeDocument/2006/relationships/hyperlink" Target="consultantplus://offline/ref=376C6A8B8AAA8756F7AB3A5E1FB61ED282E7C3D8015D66C812D056BF54D94EEF8764EE76304DA390839FDF01F79A5F88803C45424A7C2F1FA5H1F" TargetMode="External"/><Relationship Id="rId28" Type="http://schemas.openxmlformats.org/officeDocument/2006/relationships/hyperlink" Target="consultantplus://offline/ref=376C6A8B8AAA8756F7AB3A5E1FB61ED280E2C6DE065566C812D056BF54D94EEF8764EE753846F7C0C4C18652B5D1538B98204442A5HDF" TargetMode="External"/><Relationship Id="rId36" Type="http://schemas.openxmlformats.org/officeDocument/2006/relationships/hyperlink" Target="consultantplus://offline/ref=376C6A8B8AAA8756F7AB3A5E1FB61ED280E2C6DE065766C812D056BF54D94EEF9564B67A324BBD90818A8950B2ACH6F" TargetMode="External"/><Relationship Id="rId10" Type="http://schemas.openxmlformats.org/officeDocument/2006/relationships/hyperlink" Target="consultantplus://offline/ref=376C6A8B8AAA8756F7AB3A5E1FB61ED281E4C9DA095566C812D056BF54D94EEF8764EE76304DA395829FDF01F79A5F88803C45424A7C2F1FA5H1F" TargetMode="External"/><Relationship Id="rId19" Type="http://schemas.openxmlformats.org/officeDocument/2006/relationships/hyperlink" Target="consultantplus://offline/ref=376C6A8B8AAA8756F7AB3A5E1FB61ED282E7C5DC015066C812D056BF54D94EEF8764EE76304DA390879FDF01F79A5F88803C45424A7C2F1FA5H1F" TargetMode="External"/><Relationship Id="rId31" Type="http://schemas.openxmlformats.org/officeDocument/2006/relationships/hyperlink" Target="consultantplus://offline/ref=376C6A8B8AAA8756F7AB3A5E1FB61ED280E3C5DD065666C812D056BF54D94EEF8764EE763B19F2D5D5998956ADCE5394842245A4H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6C6A8B8AAA8756F7AB3A5E1FB61ED280E3C5DD065666C812D056BF54D94EEF8764EE76304DA295899FDF01F79A5F88803C45424A7C2F1FA5H1F" TargetMode="External"/><Relationship Id="rId14" Type="http://schemas.openxmlformats.org/officeDocument/2006/relationships/hyperlink" Target="consultantplus://offline/ref=376C6A8B8AAA8756F7AB3A5E1FB61ED282EAC1D0095266C812D056BF54D94EEF9564B67A324BBD90818A8950B2ACH6F" TargetMode="External"/><Relationship Id="rId22" Type="http://schemas.openxmlformats.org/officeDocument/2006/relationships/hyperlink" Target="consultantplus://offline/ref=376C6A8B8AAA8756F7AB3A5E1FB61ED280E3C5DD065666C812D056BF54D94EEF8764EE763B19F2D5D5998956ADCE5394842245A4HAF" TargetMode="External"/><Relationship Id="rId27" Type="http://schemas.openxmlformats.org/officeDocument/2006/relationships/hyperlink" Target="consultantplus://offline/ref=376C6A8B8AAA8756F7AB3A5E1FB61ED280E0C1DF085466C812D056BF54D94EEF8764EE76374CA09AD4C5CF05BECD549487235A41547FA2H6F" TargetMode="External"/><Relationship Id="rId30" Type="http://schemas.openxmlformats.org/officeDocument/2006/relationships/hyperlink" Target="consultantplus://offline/ref=376C6A8B8AAA8756F7AB3A5E1FB61ED280E0C7D8025366C812D056BF54D94EEF8764EE76304DA391879FDF01F79A5F88803C45424A7C2F1FA5H1F" TargetMode="External"/><Relationship Id="rId35" Type="http://schemas.openxmlformats.org/officeDocument/2006/relationships/hyperlink" Target="consultantplus://offline/ref=376C6A8B8AAA8756F7AB3A5E1FB61ED280E2C6DE065766C812D056BF54D94EEF9564B67A324BBD90818A8950B2ACH6F" TargetMode="External"/><Relationship Id="rId8" Type="http://schemas.openxmlformats.org/officeDocument/2006/relationships/hyperlink" Target="consultantplus://offline/ref=376C6A8B8AAA8756F7AB3A5E1FB61ED281EAC8DD055366C812D056BF54D94EEF8764EE76304DA398859FDF01F79A5F88803C45424A7C2F1FA5H1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7142</Words>
  <Characters>40716</Characters>
  <Application>Microsoft Office Word</Application>
  <DocSecurity>0</DocSecurity>
  <Lines>339</Lines>
  <Paragraphs>95</Paragraphs>
  <ScaleCrop>false</ScaleCrop>
  <Company/>
  <LinksUpToDate>false</LinksUpToDate>
  <CharactersWithSpaces>47763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2019-11-26T05:07:00Z</dcterms:created>
  <dcterms:modified xsi:type="dcterms:W3CDTF">2019-11-26T05:07:00Z</dcterms:modified>
</cp:coreProperties>
</file>